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ind w:lef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GABARITO DE HISTÓRIA – 1º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2977.0000000000005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ELABORAÇÃO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PROFESSORA- ARIANE ALINE DA FONSECA RODRIGUES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ind w:left="0" w:firstLine="0"/>
        <w:jc w:val="center"/>
        <w:rPr>
          <w:rFonts w:ascii="Arial" w:cs="Arial" w:eastAsia="Arial" w:hAnsi="Arial"/>
          <w:b w:val="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ESCOLA MUNICIPAL IRACEMA DE SOUZA MENDONÇA</w:t>
      </w: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Layout w:type="fixed"/>
        <w:tblLook w:val="0000"/>
      </w:tblPr>
      <w:tblGrid>
        <w:gridCol w:w="1197"/>
        <w:gridCol w:w="5148"/>
        <w:gridCol w:w="3119"/>
        <w:tblGridChange w:id="0">
          <w:tblGrid>
            <w:gridCol w:w="1197"/>
            <w:gridCol w:w="5148"/>
            <w:gridCol w:w="3119"/>
          </w:tblGrid>
        </w:tblGridChange>
      </w:tblGrid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Questão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Habilidade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(CG.EF01HI04.s) Identificar as diferenças entre os variados ambientes em que vive (doméstico, escolar e da comunidade), reconhecendo as especificidades dos hábitos e das regras que os regem. </w:t>
            </w:r>
          </w:p>
          <w:p w:rsidR="00000000" w:rsidDel="00000000" w:rsidP="00000000" w:rsidRDefault="00000000" w:rsidRPr="00000000" w14:paraId="0000000A">
            <w:pPr>
              <w:ind w:left="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678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678" w:hanging="360"/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  <w:rtl w:val="0"/>
              </w:rPr>
              <w:t xml:space="preserve">PRAÇA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678" w:hanging="360"/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  <w:rtl w:val="0"/>
              </w:rPr>
              <w:t xml:space="preserve">LETRA B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678" w:hanging="360"/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  <w:rtl w:val="0"/>
              </w:rPr>
              <w:t xml:space="preserve">CAMPO GRANDE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678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  <w:rtl w:val="0"/>
              </w:rPr>
              <w:t xml:space="preserve">PESSOAL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(CG.EF01HI04.s) Identificar as diferenças entre os variados ambientes em que vive (doméstico, escolar e da comunidade), reconhecendo as especificidades dos hábitos e das regras que os regem. </w:t>
            </w:r>
          </w:p>
          <w:p w:rsidR="00000000" w:rsidDel="00000000" w:rsidP="00000000" w:rsidRDefault="00000000" w:rsidRPr="00000000" w14:paraId="00000015">
            <w:pPr>
              <w:ind w:left="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firstLine="0"/>
              <w:jc w:val="center"/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  <w:rtl w:val="0"/>
              </w:rPr>
              <w:t xml:space="preserve">PESSOAL</w:t>
            </w:r>
          </w:p>
        </w:tc>
      </w:tr>
      <w:tr>
        <w:trPr>
          <w:trHeight w:val="12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(CG.EF01HI05.s) Identificar semelhanças e diferenças entre jogos e brincadeiras atuais e de outras épocas e lugares. 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  <w:rtl w:val="0"/>
              </w:rPr>
              <w:t xml:space="preserve">RUA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  <w:rtl w:val="0"/>
              </w:rPr>
              <w:t xml:space="preserve">PESSOAL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  <w:rtl w:val="0"/>
              </w:rPr>
              <w:t xml:space="preserve">PESSOAL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0" w:firstLine="0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(CG.EF01HI05.s) Identificar semelhanças e diferenças entre jogos e brincadeiras atuais e de outras épocas e lugares. </w:t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ind w:lef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jc w:val="center"/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f497d"/>
                <w:sz w:val="24"/>
                <w:szCs w:val="24"/>
                <w:vertAlign w:val="baseline"/>
                <w:rtl w:val="0"/>
              </w:rPr>
              <w:t xml:space="preserve">PESSOAL</w:t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ind w:left="0" w:firstLine="2977.000000000000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560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678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3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38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left="2268" w:firstLine="709.000000000000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="2268"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="2268" w:leftChars="-1" w:rightChars="0" w:firstLine="709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="2268"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="2268"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qZeYFnCQ1gTHJzQ+CiwMlMQ5g==">AMUW2mUWp3d45rHXn+Tczx/p4Pj3EA+O7FA+PbHhdE4LPN0N4LdbPm6ScOrBp9oz3uiPrCbdlcJKiqFwHWL5YnZk6pGLGQh7aLI0PMrf428FcqP+14QOM7V6eQ1viVFfQKzAhPbRldPf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2021-07-01T12:16:00Z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